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Rule="auto"/>
        <w:rPr>
          <w:rFonts w:ascii="Poppins" w:cs="Poppins" w:eastAsia="Poppins" w:hAnsi="Poppins"/>
          <w:color w:val="031266"/>
        </w:rPr>
      </w:pPr>
      <w:bookmarkStart w:colFirst="0" w:colLast="0" w:name="_3rzzibqin9ku" w:id="0"/>
      <w:bookmarkEnd w:id="0"/>
      <w:r w:rsidDel="00000000" w:rsidR="00000000" w:rsidRPr="00000000">
        <w:rPr>
          <w:rFonts w:ascii="Poppins" w:cs="Poppins" w:eastAsia="Poppins" w:hAnsi="Poppins"/>
          <w:color w:val="031266"/>
          <w:rtl w:val="0"/>
        </w:rPr>
        <w:t xml:space="preserve">Session Plan: Working with effective AI prompts</w:t>
      </w:r>
    </w:p>
    <w:p w:rsidR="00000000" w:rsidDel="00000000" w:rsidP="00000000" w:rsidRDefault="00000000" w:rsidRPr="00000000" w14:paraId="00000002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e1i9q2chrzak" w:id="1"/>
      <w:bookmarkEnd w:id="1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Delivery mode: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Face to face or virtual delivery</w:t>
      </w:r>
    </w:p>
    <w:p w:rsidR="00000000" w:rsidDel="00000000" w:rsidP="00000000" w:rsidRDefault="00000000" w:rsidRPr="00000000" w14:paraId="00000004">
      <w:pPr>
        <w:pStyle w:val="Heading2"/>
        <w:rPr>
          <w:color w:val="031266"/>
        </w:rPr>
      </w:pPr>
      <w:bookmarkStart w:colFirst="0" w:colLast="0" w:name="_kdjhnw7u58hb" w:id="2"/>
      <w:bookmarkEnd w:id="2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Session overview:</w:t>
      </w:r>
      <w:r w:rsidDel="00000000" w:rsidR="00000000" w:rsidRPr="00000000">
        <w:rPr>
          <w:color w:val="031266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031266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rPr>
          <w:rFonts w:ascii="Poppins" w:cs="Poppins" w:eastAsia="Poppins" w:hAnsi="Poppins"/>
          <w:color w:val="434343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This session focuses on the "art of the conversation" with AI. Learners will move from simple 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word searches to effective prompts using a structured formula to get higher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quality results.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2zv4v9fzqqwv" w:id="3"/>
      <w:bookmarkEnd w:id="3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Learning objectives:</w:t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At the end of this session, learners will be able to: 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Explain the difference between a search engine query and an AI prompt.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Apply a simple framework (Role, Task, Context) to a prompt.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Iterate on an AI response to refine the output.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rPr>
          <w:rFonts w:ascii="Poppins SemiBold" w:cs="Poppins SemiBold" w:eastAsia="Poppins SemiBold" w:hAnsi="Poppins SemiBold"/>
          <w:color w:val="031266"/>
        </w:rPr>
      </w:pPr>
      <w:bookmarkStart w:colFirst="0" w:colLast="0" w:name="_radmxbhoucb9" w:id="4"/>
      <w:bookmarkEnd w:id="4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Suggested session length:</w:t>
      </w:r>
      <w:r w:rsidDel="00000000" w:rsidR="00000000" w:rsidRPr="00000000">
        <w:rPr>
          <w:rFonts w:ascii="Poppins SemiBold" w:cs="Poppins SemiBold" w:eastAsia="Poppins SemiBold" w:hAnsi="Poppins SemiBold"/>
          <w:color w:val="03126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This session should run for approximately 60 minutes. The facilitator to schedule breaks as required.</w:t>
      </w:r>
    </w:p>
    <w:p w:rsidR="00000000" w:rsidDel="00000000" w:rsidP="00000000" w:rsidRDefault="00000000" w:rsidRPr="00000000" w14:paraId="0000000D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gx51dno469vn" w:id="5"/>
      <w:bookmarkEnd w:id="5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Prior knowledge: </w:t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Discuss with the learners prior to them attending to make sure they are familiar with the following: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Familiarity with topics covered in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Intro to AI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Familiarity with topics covered in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Benefits of AI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j0kk8o4zjljr" w:id="6"/>
      <w:bookmarkEnd w:id="6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Critical thinking focus: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Evaluation of </w:t>
      </w:r>
      <w:r w:rsidDel="00000000" w:rsidR="00000000" w:rsidRPr="00000000">
        <w:rPr>
          <w:b w:val="1"/>
          <w:bCs w:val="1"/>
          <w:rtl w:val="0"/>
        </w:rPr>
        <w:t xml:space="preserve">o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utput: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Learners must evaluate if the AI's response actually meets their specific needs or if it is too vague.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Precision in </w:t>
      </w:r>
      <w:r w:rsidDel="00000000" w:rsidR="00000000" w:rsidRPr="00000000">
        <w:rPr>
          <w:b w:val="1"/>
          <w:bCs w:val="1"/>
          <w:rtl w:val="0"/>
        </w:rPr>
        <w:t xml:space="preserve">c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ommunication: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Practicing how to turn a simple idea into a detailed instruction using the "Who, What, How" framework.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Iterative </w:t>
      </w:r>
      <w:r w:rsidDel="00000000" w:rsidR="00000000" w:rsidRPr="00000000">
        <w:rPr>
          <w:b w:val="1"/>
          <w:bCs w:val="1"/>
          <w:rtl w:val="0"/>
        </w:rPr>
        <w:t xml:space="preserve">p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roblem </w:t>
      </w:r>
      <w:r w:rsidDel="00000000" w:rsidR="00000000" w:rsidRPr="00000000">
        <w:rPr>
          <w:b w:val="1"/>
          <w:bCs w:val="1"/>
          <w:rtl w:val="0"/>
        </w:rPr>
        <w:t xml:space="preserve">s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olving: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Learning that the first answer isn't always the best and identifying what needs to change to get a better result.</w:t>
      </w:r>
    </w:p>
    <w:p w:rsidR="00000000" w:rsidDel="00000000" w:rsidP="00000000" w:rsidRDefault="00000000" w:rsidRPr="00000000" w14:paraId="00000015">
      <w:pPr>
        <w:ind w:left="0" w:firstLine="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Tips: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Use the "new employee" analogy: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Tell learners to imagine the AI is a very smart but very literal new employee. If they give a vague instruction, they will get a vague result.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Show, don't just tell: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Compare a "Bad Prompt" (eg "Write a recipe") with a "Good Prompt" (eg "Act as a nutritionist and write a 15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minute healthy recipe for two people") side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side on the screen.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The "magical" iteration: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Emphasise that they don't have to get the prompt right the first time. Showing them how to reply to the AI to fix a mistake is often the biggest lightbulb moment for new users.</w:t>
      </w:r>
    </w:p>
    <w:p w:rsidR="00000000" w:rsidDel="00000000" w:rsidP="00000000" w:rsidRDefault="00000000" w:rsidRPr="00000000" w14:paraId="0000001A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dw6jkvq7u9y0" w:id="7"/>
      <w:bookmarkEnd w:id="7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AI safety top tip: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The "Stranger in a Cafe" </w:t>
      </w:r>
      <w:r w:rsidDel="00000000" w:rsidR="00000000" w:rsidRPr="00000000">
        <w:rPr>
          <w:b w:val="1"/>
          <w:bCs w:val="1"/>
          <w:rtl w:val="0"/>
        </w:rPr>
        <w:t xml:space="preserve">r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ule: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Never put private information like your home address, passwords, or bank details into a prompt. Treat the AI like a stranger who might be listening to your conversation.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rPr>
          <w:rFonts w:ascii="Poppins SemiBold" w:cs="Poppins SemiBold" w:eastAsia="Poppins SemiBold" w:hAnsi="Poppins SemiBold"/>
          <w:color w:val="031266"/>
        </w:rPr>
      </w:pPr>
      <w:bookmarkStart w:colFirst="0" w:colLast="0" w:name="_dt0tqnmfouem" w:id="8"/>
      <w:bookmarkEnd w:id="8"/>
      <w:r w:rsidDel="00000000" w:rsidR="00000000" w:rsidRPr="00000000">
        <w:rPr>
          <w:rFonts w:ascii="Poppins SemiBold" w:cs="Poppins SemiBold" w:eastAsia="Poppins SemiBold" w:hAnsi="Poppins SemiBold"/>
          <w:color w:val="031266"/>
          <w:rtl w:val="0"/>
        </w:rPr>
        <w:t xml:space="preserve">Session plan:</w:t>
      </w:r>
    </w:p>
    <w:p w:rsidR="00000000" w:rsidDel="00000000" w:rsidP="00000000" w:rsidRDefault="00000000" w:rsidRPr="00000000" w14:paraId="0000001D">
      <w:pPr>
        <w:widowControl w:val="0"/>
        <w:spacing w:line="276" w:lineRule="auto"/>
        <w:rPr>
          <w:rFonts w:ascii="Rubik" w:cs="Rubik" w:eastAsia="Rubik" w:hAnsi="Rubik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00.078740157482" w:type="dxa"/>
        <w:jc w:val="left"/>
        <w:tblInd w:w="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7.2192256662247"/>
        <w:gridCol w:w="1211.5221985905446"/>
        <w:gridCol w:w="4734.826551634476"/>
        <w:gridCol w:w="3078.2553821331185"/>
        <w:gridCol w:w="3078.2553821331185"/>
        <w:tblGridChange w:id="0">
          <w:tblGrid>
            <w:gridCol w:w="2497.2192256662247"/>
            <w:gridCol w:w="1211.5221985905446"/>
            <w:gridCol w:w="4734.826551634476"/>
            <w:gridCol w:w="3078.2553821331185"/>
            <w:gridCol w:w="3078.2553821331185"/>
          </w:tblGrid>
        </w:tblGridChange>
      </w:tblGrid>
      <w:tr>
        <w:trPr>
          <w:cantSplit w:val="0"/>
          <w:tblHeader w:val="1"/>
        </w:trPr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Topic</w:t>
            </w:r>
          </w:p>
        </w:tc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Timing</w:t>
            </w:r>
          </w:p>
        </w:tc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Activity</w:t>
            </w:r>
          </w:p>
        </w:tc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Assessment</w:t>
            </w:r>
          </w:p>
        </w:tc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Resources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Welcome and 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5mins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Recap why prompting matters (Good Input = Good Output).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Visual check/nod.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Laptop/PC.</w:t>
            </w:r>
          </w:p>
        </w:tc>
      </w:tr>
      <w:tr>
        <w:trPr>
          <w:cantSplit w:val="0"/>
          <w:trHeight w:val="425.699999999999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The prompt formula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15mins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The "Who, What, How" Method. Explain setting a Role (Who), a Task (What), and Context (How).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Group exercise: Identify the Role, Task, and Context in examples.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Slides or handouts.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The ‘bad prompt’ challenge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15mins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Present a vague prompt (</w:t>
            </w:r>
            <w:r w:rsidDel="00000000" w:rsidR="00000000" w:rsidRPr="00000000">
              <w:rPr>
                <w:rFonts w:ascii="Rubik" w:cs="Rubik" w:eastAsia="Rubik" w:hAnsi="Rubik"/>
                <w:rtl w:val="0"/>
              </w:rPr>
              <w:t xml:space="preserve">e</w:t>
            </w: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g, "Write an email") and ask learners to "fix" it using the formula.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Comparison of original vs "fixed" prompt results.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AI tool eg ChatGPT.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Practice: Iteration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15mins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Learners prompt AI to write a letter, then ask for a change (eg "Make it shorter," "Make it funnier").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Successful refinement of the AI's first draft.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Notepad, pens.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Recap and close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10mins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Summarise the session and hand out an Evaluation form.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Learners share one prompt they’ll use starting tomorrow.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Evaluation form.</w:t>
            </w:r>
          </w:p>
        </w:tc>
      </w:tr>
    </w:tbl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1909" w:w="16834" w:orient="landscape"/>
      <w:pgMar w:bottom="1440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ubi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right"/>
      <w:rPr>
        <w:rFonts w:ascii="Poppins" w:cs="Poppins" w:eastAsia="Poppins" w:hAnsi="Poppins"/>
        <w:color w:val="666666"/>
        <w:sz w:val="16"/>
        <w:szCs w:val="16"/>
      </w:rPr>
    </w:pPr>
    <w:r w:rsidDel="00000000" w:rsidR="00000000" w:rsidRPr="00000000">
      <w:rPr>
        <w:rFonts w:ascii="Rubik" w:cs="Rubik" w:eastAsia="Rubik" w:hAnsi="Rubik"/>
        <w:color w:val="666666"/>
        <w:sz w:val="16"/>
        <w:szCs w:val="16"/>
        <w:rtl w:val="0"/>
      </w:rPr>
      <w:tab/>
      <w:tab/>
      <w:tab/>
      <w:tab/>
      <w:t xml:space="preserve">Good Things Australia, updated January 2026</w:t>
      <w:tab/>
      <w:tab/>
      <w:tab/>
      <w:tab/>
      <w:tab/>
      <w:tab/>
      <w:tab/>
      <w:tab/>
      <w:tab/>
      <w:tab/>
      <w:tab/>
    </w:r>
    <w:r w:rsidDel="00000000" w:rsidR="00000000" w:rsidRPr="00000000">
      <w:rPr>
        <w:rFonts w:ascii="Poppins" w:cs="Poppins" w:eastAsia="Poppins" w:hAnsi="Poppins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  <w:tab/>
      <w:tab/>
      <w:tab/>
      <w:tab/>
      <w:tab/>
      <w:tab/>
      <w:tab/>
      <w:tab/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6133221" cy="1138238"/>
          <wp:effectExtent b="0" l="0" r="0" t="0"/>
          <wp:docPr descr="Good Things logo. Supported by Telstra logo. Microsoft logo. Linkedin logo." id="1" name="image1.png"/>
          <a:graphic>
            <a:graphicData uri="http://schemas.openxmlformats.org/drawingml/2006/picture">
              <pic:pic>
                <pic:nvPicPr>
                  <pic:cNvPr descr="Good Things logo. Supported by Telstra logo. Microsoft logo. Linkedin log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3221" cy="1138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Rubik" w:cs="Rubik" w:eastAsia="Rubik" w:hAnsi="Rubik"/>
      <w:b w:val="1"/>
      <w:bCs w:val="1"/>
      <w:color w:val="134f5c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367d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goodthingsaustralia.org/mentor-resource/session-plan-intro-to-ai/" TargetMode="External"/><Relationship Id="rId7" Type="http://schemas.openxmlformats.org/officeDocument/2006/relationships/hyperlink" Target="https://goodthingsaustralia.org/mentor-resource/session-plan-benefits-of-ai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Rubik-regular.ttf"/><Relationship Id="rId6" Type="http://schemas.openxmlformats.org/officeDocument/2006/relationships/font" Target="fonts/Rubik-bold.ttf"/><Relationship Id="rId7" Type="http://schemas.openxmlformats.org/officeDocument/2006/relationships/font" Target="fonts/Rubik-italic.ttf"/><Relationship Id="rId8" Type="http://schemas.openxmlformats.org/officeDocument/2006/relationships/font" Target="fonts/Rubik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